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6ED" w:rsidRDefault="00CB46ED" w:rsidP="00CB46ED">
      <w:bookmarkStart w:id="0" w:name="_GoBack"/>
      <w:bookmarkEnd w:id="0"/>
    </w:p>
    <w:p w:rsidR="007C11B2" w:rsidRDefault="00CB46ED" w:rsidP="007C11B2">
      <w:pPr>
        <w:jc w:val="center"/>
        <w:rPr>
          <w:b/>
          <w:sz w:val="24"/>
          <w:szCs w:val="24"/>
        </w:rPr>
      </w:pPr>
      <w:r>
        <w:tab/>
      </w:r>
      <w:r>
        <w:tab/>
      </w:r>
      <w:r w:rsidR="007C11B2">
        <w:rPr>
          <w:b/>
          <w:sz w:val="24"/>
          <w:szCs w:val="24"/>
        </w:rPr>
        <w:t>BILJEŠKE UZ FINANCIJSKE IZVJEŠTAJE ZA RAZDOBLJE OD 1. SIJEČNJA DO 31. PROSINCA 2020. GODINE</w:t>
      </w:r>
    </w:p>
    <w:p w:rsidR="007C11B2" w:rsidRDefault="007C11B2" w:rsidP="007C11B2">
      <w:pPr>
        <w:jc w:val="center"/>
        <w:rPr>
          <w:b/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Broj RKP-a: 17851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Matični broj: 03776441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OIB: 33786360839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Naziv i adresa obveznika: Srednja medicinska škola, Vatroslava Jagića 3A, Slavonski Brod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Oznaka razine: 31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Šifra djelatnosti: 8532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Razdjel: 000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Šifra županije/grada/općine: 396</w:t>
      </w:r>
    </w:p>
    <w:p w:rsidR="007C11B2" w:rsidRP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Žiro račun: Brodsko-posavska županija</w:t>
      </w:r>
    </w:p>
    <w:p w:rsidR="007C11B2" w:rsidRDefault="007C11B2" w:rsidP="007C11B2">
      <w:pPr>
        <w:jc w:val="center"/>
        <w:rPr>
          <w:b/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>Godišnji financijski izvještaji Medicinske škole – Slavonski Brod sastavljeni su nakon što su proknjižene sve poslovne promjene, događaji i transakcije za razdoblje siječanj – prosinac 2020., nakon što su knjiženja obavljena pravilno i ažurno temeljem vjerodostojne knjigovodstvene dokumentacije prema propisanom računskom planu i u skladu s financijskim planom odobrenim od nadležnih tijela.</w:t>
      </w:r>
    </w:p>
    <w:p w:rsidR="007C11B2" w:rsidRDefault="007C11B2" w:rsidP="007C11B2">
      <w:pPr>
        <w:rPr>
          <w:sz w:val="24"/>
          <w:szCs w:val="24"/>
        </w:rPr>
      </w:pPr>
      <w:r>
        <w:rPr>
          <w:sz w:val="24"/>
          <w:szCs w:val="24"/>
        </w:rPr>
        <w:t xml:space="preserve">Izvještaji su sastavljeni i predani te će se prema odredbama Pravilnika o financijskom izvještavanju u proračunskom računovodstvu (Narodne novine br. 03/15, 93/15, 135/15, 2/17, 112/18, i 126/19) u zakonom određenim rokovima što za proračunske korisnike jedinica lokalne i područne samouprave znači predaju do 1. veljače 2021. godine. Sukladno čl. 4. navedenog Pravilnika, za sastavljanje financijskih izvještaja odgovorna je voditeljica računovodstva Ana Tomić </w:t>
      </w:r>
      <w:proofErr w:type="spellStart"/>
      <w:r>
        <w:rPr>
          <w:sz w:val="24"/>
          <w:szCs w:val="24"/>
        </w:rPr>
        <w:t>bacc.oec</w:t>
      </w:r>
      <w:proofErr w:type="spellEnd"/>
      <w:r>
        <w:rPr>
          <w:sz w:val="24"/>
          <w:szCs w:val="24"/>
        </w:rPr>
        <w:t xml:space="preserve">., dok odgovorna osoba škole ravnateljica Jelinić – Bošnjak Jelena, prof. </w:t>
      </w:r>
      <w:proofErr w:type="spellStart"/>
      <w:r>
        <w:rPr>
          <w:sz w:val="24"/>
          <w:szCs w:val="24"/>
        </w:rPr>
        <w:t>eng</w:t>
      </w:r>
      <w:proofErr w:type="spellEnd"/>
      <w:r>
        <w:rPr>
          <w:sz w:val="24"/>
          <w:szCs w:val="24"/>
        </w:rPr>
        <w:t>. i njem. jezika potpisuje financijske izvještaje i odgovorna je za predaju istih.</w:t>
      </w:r>
    </w:p>
    <w:p w:rsidR="007C11B2" w:rsidRDefault="007C11B2" w:rsidP="007C11B2">
      <w:pPr>
        <w:jc w:val="center"/>
        <w:rPr>
          <w:b/>
          <w:sz w:val="24"/>
          <w:szCs w:val="24"/>
        </w:rPr>
      </w:pPr>
    </w:p>
    <w:p w:rsidR="007C11B2" w:rsidRDefault="007C11B2" w:rsidP="007C11B2">
      <w:pPr>
        <w:jc w:val="center"/>
        <w:rPr>
          <w:b/>
          <w:sz w:val="24"/>
          <w:szCs w:val="24"/>
        </w:rPr>
      </w:pPr>
      <w:r w:rsidRPr="00D30F41">
        <w:rPr>
          <w:b/>
          <w:sz w:val="24"/>
          <w:szCs w:val="24"/>
        </w:rPr>
        <w:lastRenderedPageBreak/>
        <w:t>Bilješka uz Obrazac BILANCA</w:t>
      </w:r>
    </w:p>
    <w:p w:rsidR="007C11B2" w:rsidRPr="00D30F41" w:rsidRDefault="007C11B2" w:rsidP="007C11B2">
      <w:pPr>
        <w:jc w:val="center"/>
        <w:rPr>
          <w:b/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  <w:r w:rsidRPr="00D30F41">
        <w:rPr>
          <w:b/>
          <w:sz w:val="24"/>
          <w:szCs w:val="24"/>
        </w:rPr>
        <w:t xml:space="preserve">Bilješka broj 1 – AOP </w:t>
      </w:r>
      <w:r>
        <w:rPr>
          <w:b/>
          <w:sz w:val="24"/>
          <w:szCs w:val="24"/>
        </w:rPr>
        <w:t>001</w:t>
      </w:r>
      <w:r w:rsidRPr="00D30F4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Ukupna vrijednost imovine u 2020. godini smanjena je u odnosu na 2019. godinu  i iznosi 1.797.323 kn.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2 – AOP 002 – </w:t>
      </w:r>
      <w:r>
        <w:rPr>
          <w:sz w:val="24"/>
          <w:szCs w:val="24"/>
        </w:rPr>
        <w:t>Ukupna vrijednost nefinancijske imovine je povećana u odnosu na 2019. godinu za te iznosi 657.325 kn.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3 – AOP 030 – </w:t>
      </w:r>
      <w:r>
        <w:rPr>
          <w:sz w:val="24"/>
          <w:szCs w:val="24"/>
        </w:rPr>
        <w:t>Smanjila se vrijednost nabavljenih knjiga za školsku knjižnicu u odnosu na prethodnu godinu i iznosi 1.545 kn.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4 – AOP 063 – </w:t>
      </w:r>
      <w:r>
        <w:rPr>
          <w:sz w:val="24"/>
          <w:szCs w:val="24"/>
        </w:rPr>
        <w:t>Vrijednost financijske imovine na kraju godine iznosi 1.139.998 kn, a odnosi se na Potraživanja za prihode poslovanja u iznosu od 428.382 kn te Rashoda budućih razdoblja i nedospjele naplate prihoda u iznosu od 711.616 kn.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5 – AOP 64 – </w:t>
      </w:r>
      <w:r>
        <w:rPr>
          <w:sz w:val="24"/>
          <w:szCs w:val="24"/>
        </w:rPr>
        <w:t>Novčana sredstva ne posjedujemo jer nemamo otvoren vlastiti žiro račun (poslujemo preko sustava lokalne riznice), a sa 31. 12. 2020. godine smo saldo blagajne sveli na 0 kn, odnosno potrošili smo sva novčana sredstva u blagajni, a u skladu sa naputkom osnivača – BPŽ.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6 – AOP 169 – </w:t>
      </w:r>
      <w:r w:rsidRPr="001420CB">
        <w:rPr>
          <w:sz w:val="24"/>
          <w:szCs w:val="24"/>
        </w:rPr>
        <w:t>Obveze na kraju 2020. godi</w:t>
      </w:r>
      <w:r>
        <w:rPr>
          <w:sz w:val="24"/>
          <w:szCs w:val="24"/>
        </w:rPr>
        <w:t>ne iznose 638.747 kn.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7 – AOP 171 – </w:t>
      </w:r>
      <w:r>
        <w:rPr>
          <w:sz w:val="24"/>
          <w:szCs w:val="24"/>
        </w:rPr>
        <w:t>Obveze za zaposlene odnose se na plaću i bolovanje preko 42 dana za prosinac 2020. godine.</w:t>
      </w:r>
    </w:p>
    <w:p w:rsidR="007C11B2" w:rsidRDefault="007C11B2" w:rsidP="007C11B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8 – AOP 172 – </w:t>
      </w:r>
      <w:r>
        <w:rPr>
          <w:sz w:val="24"/>
          <w:szCs w:val="24"/>
        </w:rPr>
        <w:t>Obveze za materijalne rashode odnose ne na neplaćene račune na kraju godine i naknadu za prijevoz djelatnika za prosinac 2020. godine. Isti su plaćeni tijekom siječnja 2021. godine.</w:t>
      </w: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C11B2" w:rsidP="007C11B2">
      <w:pPr>
        <w:rPr>
          <w:sz w:val="24"/>
          <w:szCs w:val="24"/>
        </w:rPr>
      </w:pPr>
    </w:p>
    <w:p w:rsidR="007C11B2" w:rsidRDefault="007F297F" w:rsidP="007F29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IZVJEŠTAJ O PRIHODIMA I RASHODIMA, PRIMICIMA I IZDACIMA (Obrazac PR-RAS)</w:t>
      </w:r>
    </w:p>
    <w:p w:rsidR="007F297F" w:rsidRDefault="007F297F" w:rsidP="007F297F">
      <w:pPr>
        <w:jc w:val="center"/>
        <w:rPr>
          <w:b/>
          <w:sz w:val="24"/>
          <w:szCs w:val="24"/>
        </w:rPr>
      </w:pPr>
    </w:p>
    <w:p w:rsidR="007F297F" w:rsidRDefault="007F297F" w:rsidP="007F297F">
      <w:pPr>
        <w:rPr>
          <w:sz w:val="24"/>
          <w:szCs w:val="24"/>
        </w:rPr>
      </w:pPr>
      <w:r>
        <w:rPr>
          <w:sz w:val="24"/>
          <w:szCs w:val="24"/>
        </w:rPr>
        <w:t>Sukladno Zakonu o proračunu Škola je uplaćivala namjenske i vlastite prihode u proračun Brodsko-posavske županije, evidentirala ih je u svojoj glavnoj knjizi na osnovnim računima Računskog plana sukladno vrsti i izvoru ostvarenih prihoda, a županijska riznica posjeduje knjigovodstvene dokumente na temelju kojega su provedena knjiženja.</w:t>
      </w:r>
    </w:p>
    <w:p w:rsidR="007F297F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9</w:t>
      </w:r>
      <w:r w:rsidR="007F297F">
        <w:rPr>
          <w:b/>
          <w:sz w:val="24"/>
          <w:szCs w:val="24"/>
        </w:rPr>
        <w:t xml:space="preserve"> – AOP 001 – </w:t>
      </w:r>
      <w:r w:rsidR="007F297F">
        <w:rPr>
          <w:sz w:val="24"/>
          <w:szCs w:val="24"/>
        </w:rPr>
        <w:t>Ukupno ostvareni prihodi poslovanja m</w:t>
      </w:r>
      <w:r w:rsidR="00AF6E42">
        <w:rPr>
          <w:sz w:val="24"/>
          <w:szCs w:val="24"/>
        </w:rPr>
        <w:t>anji su u odnosu na 2019. godinu te u 2020. godini iznose 7.216.584</w:t>
      </w:r>
      <w:r w:rsidR="00651AA0">
        <w:rPr>
          <w:sz w:val="24"/>
          <w:szCs w:val="24"/>
        </w:rPr>
        <w:t xml:space="preserve"> kn.</w:t>
      </w:r>
    </w:p>
    <w:p w:rsidR="00651AA0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10</w:t>
      </w:r>
      <w:r w:rsidR="005E2FB2">
        <w:rPr>
          <w:b/>
          <w:sz w:val="24"/>
          <w:szCs w:val="24"/>
        </w:rPr>
        <w:t xml:space="preserve"> – AOP 063 – </w:t>
      </w:r>
      <w:r w:rsidR="005E2FB2">
        <w:rPr>
          <w:sz w:val="24"/>
          <w:szCs w:val="24"/>
        </w:rPr>
        <w:t>Pomoć proračunskim korisnicima iz proračuna koji im nije nadležan odnose se na isplatu plaća i drugih materijalnih prava zaposlenicima iz Državne riznice i sa žiro računa BPŽ, a koje je uplatio smanjene su u odnosu na 2019 god</w:t>
      </w:r>
      <w:r w:rsidR="00961960">
        <w:rPr>
          <w:sz w:val="24"/>
          <w:szCs w:val="24"/>
        </w:rPr>
        <w:t>inu, i iznose 6.351.737 kn</w:t>
      </w:r>
    </w:p>
    <w:p w:rsidR="00961960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11 </w:t>
      </w:r>
      <w:r w:rsidR="00961960">
        <w:rPr>
          <w:b/>
          <w:sz w:val="24"/>
          <w:szCs w:val="24"/>
        </w:rPr>
        <w:t xml:space="preserve">– AOP 067 – </w:t>
      </w:r>
      <w:r w:rsidR="00961960">
        <w:rPr>
          <w:sz w:val="24"/>
          <w:szCs w:val="24"/>
        </w:rPr>
        <w:t xml:space="preserve">Tekuće pomoći temeljem prijenosa EU sredstava u 2020. godini ostvareno je 128.392 kn sudjelovanjem u projektu </w:t>
      </w:r>
      <w:proofErr w:type="spellStart"/>
      <w:r w:rsidR="00961960">
        <w:rPr>
          <w:sz w:val="24"/>
          <w:szCs w:val="24"/>
        </w:rPr>
        <w:t>Erasmus</w:t>
      </w:r>
      <w:proofErr w:type="spellEnd"/>
      <w:r w:rsidR="00961960">
        <w:rPr>
          <w:sz w:val="24"/>
          <w:szCs w:val="24"/>
        </w:rPr>
        <w:t>+ koji se provodio u školi.</w:t>
      </w:r>
    </w:p>
    <w:p w:rsidR="00961960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12</w:t>
      </w:r>
      <w:r w:rsidR="00961960">
        <w:rPr>
          <w:b/>
          <w:sz w:val="24"/>
          <w:szCs w:val="24"/>
        </w:rPr>
        <w:t xml:space="preserve"> – AOP 116 – </w:t>
      </w:r>
      <w:r w:rsidR="00961960">
        <w:rPr>
          <w:sz w:val="24"/>
          <w:szCs w:val="24"/>
        </w:rPr>
        <w:t>Ostali nespomenuti prihodi ostvaruju se između ostalog i izvođenjem izvan</w:t>
      </w:r>
      <w:r w:rsidR="008A0EF4">
        <w:rPr>
          <w:sz w:val="24"/>
          <w:szCs w:val="24"/>
        </w:rPr>
        <w:t xml:space="preserve"> </w:t>
      </w:r>
      <w:r w:rsidR="00961960">
        <w:rPr>
          <w:sz w:val="24"/>
          <w:szCs w:val="24"/>
        </w:rPr>
        <w:t xml:space="preserve">učioničke nastave i školskih izleta, Kako se iste nisu realizirale zbog ograničenja uslijed </w:t>
      </w:r>
      <w:proofErr w:type="spellStart"/>
      <w:r w:rsidR="00961960">
        <w:rPr>
          <w:sz w:val="24"/>
          <w:szCs w:val="24"/>
        </w:rPr>
        <w:t>pandemije</w:t>
      </w:r>
      <w:proofErr w:type="spellEnd"/>
      <w:r w:rsidR="00961960">
        <w:rPr>
          <w:sz w:val="24"/>
          <w:szCs w:val="24"/>
        </w:rPr>
        <w:t>, došlo je do značajnog odstupanja u ostvarenju prihoda.</w:t>
      </w:r>
    </w:p>
    <w:p w:rsidR="00961960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13</w:t>
      </w:r>
      <w:r w:rsidR="00961960">
        <w:rPr>
          <w:b/>
          <w:sz w:val="24"/>
          <w:szCs w:val="24"/>
        </w:rPr>
        <w:t xml:space="preserve"> – AOP </w:t>
      </w:r>
      <w:r w:rsidR="00B93376">
        <w:rPr>
          <w:b/>
          <w:sz w:val="24"/>
          <w:szCs w:val="24"/>
        </w:rPr>
        <w:t xml:space="preserve">123 – </w:t>
      </w:r>
      <w:r w:rsidR="00B93376">
        <w:rPr>
          <w:sz w:val="24"/>
          <w:szCs w:val="24"/>
        </w:rPr>
        <w:t>Prihodi od pruženih usluga se odnose na prihode od iznajmljivanja dijela školskog prostora za postavljanje aparata s toplim napitcima i iznajmljivanja panoa na prostoru škole, te  od tekućih donacija.</w:t>
      </w:r>
    </w:p>
    <w:p w:rsidR="00B93376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14</w:t>
      </w:r>
      <w:r w:rsidR="00B93376">
        <w:rPr>
          <w:b/>
          <w:sz w:val="24"/>
          <w:szCs w:val="24"/>
        </w:rPr>
        <w:t xml:space="preserve"> – AOP 130 – </w:t>
      </w:r>
      <w:r w:rsidR="00B93376">
        <w:rPr>
          <w:sz w:val="24"/>
          <w:szCs w:val="24"/>
        </w:rPr>
        <w:t>Prihodi iz nadležnog proračuna za financiranje rashoda poslovanja odnose se na prigode od Brodsko-posavske županije za materijalne rashode i naknade materijalnih troškova zaposlenicima Škole (prijevoz na posao, putni nalozi).</w:t>
      </w:r>
    </w:p>
    <w:p w:rsidR="00B93376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15</w:t>
      </w:r>
      <w:r w:rsidR="00B93376">
        <w:rPr>
          <w:b/>
          <w:sz w:val="24"/>
          <w:szCs w:val="24"/>
        </w:rPr>
        <w:t xml:space="preserve"> – AOP 148 – </w:t>
      </w:r>
      <w:r w:rsidR="00B93376">
        <w:rPr>
          <w:sz w:val="24"/>
          <w:szCs w:val="24"/>
        </w:rPr>
        <w:t>Rashodi poslovanja povećani su u odnosu na 2019. godinu, te u 2020 godini iznose 7.434.255 kn</w:t>
      </w:r>
    </w:p>
    <w:p w:rsidR="00B93376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16</w:t>
      </w:r>
      <w:r w:rsidR="00B93376">
        <w:rPr>
          <w:b/>
          <w:sz w:val="24"/>
          <w:szCs w:val="24"/>
        </w:rPr>
        <w:t xml:space="preserve"> – AOP </w:t>
      </w:r>
      <w:r w:rsidR="008A0EF4">
        <w:rPr>
          <w:b/>
          <w:sz w:val="24"/>
          <w:szCs w:val="24"/>
        </w:rPr>
        <w:t xml:space="preserve">149 – </w:t>
      </w:r>
      <w:r w:rsidR="008A0EF4">
        <w:rPr>
          <w:sz w:val="24"/>
          <w:szCs w:val="24"/>
        </w:rPr>
        <w:t>Rashodi za zaposlene povećani su u odnosu na 2019. godinu, te na kraju 2020. godine iznose 6.160.207 kn.</w:t>
      </w:r>
    </w:p>
    <w:p w:rsidR="008A0EF4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17</w:t>
      </w:r>
      <w:r w:rsidR="008A0EF4">
        <w:rPr>
          <w:b/>
          <w:sz w:val="24"/>
          <w:szCs w:val="24"/>
        </w:rPr>
        <w:t xml:space="preserve"> – AOP 155 – </w:t>
      </w:r>
      <w:r w:rsidR="008A0EF4">
        <w:rPr>
          <w:sz w:val="24"/>
          <w:szCs w:val="24"/>
        </w:rPr>
        <w:t>Ostali rashodi za zaposlene smanjeni su u odnosu na 2019. godinu, a u 2020. godini iznose 181.192 kn</w:t>
      </w:r>
    </w:p>
    <w:p w:rsidR="008A0EF4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Bilješka broj 18</w:t>
      </w:r>
      <w:r w:rsidR="008A0EF4">
        <w:rPr>
          <w:b/>
          <w:sz w:val="24"/>
          <w:szCs w:val="24"/>
        </w:rPr>
        <w:t xml:space="preserve"> – AOP </w:t>
      </w:r>
      <w:r w:rsidR="00F60D41">
        <w:rPr>
          <w:b/>
          <w:sz w:val="24"/>
          <w:szCs w:val="24"/>
        </w:rPr>
        <w:t xml:space="preserve">156 – </w:t>
      </w:r>
      <w:r w:rsidR="00F60D41">
        <w:rPr>
          <w:sz w:val="24"/>
          <w:szCs w:val="24"/>
        </w:rPr>
        <w:t>Doprinosi na plaće ukupno u 2020. godini iznose 1.873.865 kn a sastoje se od Doprinosa za mirovinsko osiguranje i doprinosa za obvezno zdravstveno osiguranje.</w:t>
      </w:r>
    </w:p>
    <w:p w:rsidR="00F60D41" w:rsidRDefault="00F60D41" w:rsidP="007F297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</w:t>
      </w:r>
      <w:r w:rsidR="00C03589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– AOP 160 – </w:t>
      </w:r>
      <w:r>
        <w:rPr>
          <w:sz w:val="24"/>
          <w:szCs w:val="24"/>
        </w:rPr>
        <w:t xml:space="preserve">Materijalni rashodi smanjeni su u odnosu na prethodnu godinu zbog značajno manjih troškova prijevoza zaposlenika na posao, troškovi službenih putovanja realizirani su u znatno manjem opsegu u odnosu na prethodno razdoblje zbog ograničenja održavanja stručnih skupova i svih ostalih troškova Škole (rad – nastava od kuće) uslijed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uzrokovane bolešću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– 19.</w:t>
      </w:r>
    </w:p>
    <w:p w:rsidR="00F60D41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20</w:t>
      </w:r>
      <w:r w:rsidR="00F60D41">
        <w:rPr>
          <w:b/>
          <w:sz w:val="24"/>
          <w:szCs w:val="24"/>
        </w:rPr>
        <w:t xml:space="preserve"> – AOP 184</w:t>
      </w:r>
      <w:r w:rsidR="0070125B">
        <w:rPr>
          <w:b/>
          <w:sz w:val="24"/>
          <w:szCs w:val="24"/>
        </w:rPr>
        <w:t xml:space="preserve"> – </w:t>
      </w:r>
      <w:r w:rsidR="0070125B">
        <w:rPr>
          <w:sz w:val="24"/>
          <w:szCs w:val="24"/>
        </w:rPr>
        <w:t xml:space="preserve">Naknade troškova osobama izvan radnog odnosa smanjene su u odnosu na prethodnu godinu jer nije bilo putovanja učenika u sklopu </w:t>
      </w:r>
      <w:proofErr w:type="spellStart"/>
      <w:r w:rsidR="0070125B">
        <w:rPr>
          <w:sz w:val="24"/>
          <w:szCs w:val="24"/>
        </w:rPr>
        <w:t>Erasmus</w:t>
      </w:r>
      <w:proofErr w:type="spellEnd"/>
      <w:r w:rsidR="0070125B">
        <w:rPr>
          <w:sz w:val="24"/>
          <w:szCs w:val="24"/>
        </w:rPr>
        <w:t xml:space="preserve"> projekta zbog </w:t>
      </w:r>
      <w:proofErr w:type="spellStart"/>
      <w:r w:rsidR="0070125B">
        <w:rPr>
          <w:sz w:val="24"/>
          <w:szCs w:val="24"/>
        </w:rPr>
        <w:t>pandemije</w:t>
      </w:r>
      <w:proofErr w:type="spellEnd"/>
      <w:r w:rsidR="0070125B">
        <w:rPr>
          <w:sz w:val="24"/>
          <w:szCs w:val="24"/>
        </w:rPr>
        <w:t>.</w:t>
      </w:r>
    </w:p>
    <w:p w:rsidR="0070125B" w:rsidRDefault="0070125B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</w:t>
      </w:r>
      <w:r w:rsidR="00C03589">
        <w:rPr>
          <w:b/>
          <w:sz w:val="24"/>
          <w:szCs w:val="24"/>
        </w:rPr>
        <w:t xml:space="preserve"> 21</w:t>
      </w:r>
      <w:r>
        <w:rPr>
          <w:b/>
          <w:sz w:val="24"/>
          <w:szCs w:val="24"/>
        </w:rPr>
        <w:t xml:space="preserve"> – AOP 193 –</w:t>
      </w:r>
      <w:r>
        <w:rPr>
          <w:sz w:val="24"/>
          <w:szCs w:val="24"/>
        </w:rPr>
        <w:t xml:space="preserve"> Financijski rashodi manji su nego prethodne godine, najvećim dijelom zbog pravovremenog plaćanja računa tj. manje plaćenih zateznih kamata.</w:t>
      </w:r>
    </w:p>
    <w:p w:rsidR="0070125B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22</w:t>
      </w:r>
      <w:r w:rsidR="0070125B">
        <w:rPr>
          <w:b/>
          <w:sz w:val="24"/>
          <w:szCs w:val="24"/>
        </w:rPr>
        <w:t xml:space="preserve"> – AOP 341 – </w:t>
      </w:r>
      <w:r w:rsidR="0070125B">
        <w:rPr>
          <w:sz w:val="24"/>
          <w:szCs w:val="24"/>
        </w:rPr>
        <w:t xml:space="preserve">Rashodi </w:t>
      </w:r>
      <w:r w:rsidR="00B04409">
        <w:rPr>
          <w:sz w:val="24"/>
          <w:szCs w:val="24"/>
        </w:rPr>
        <w:t>za nabavu nefinancijske imovine (osnovnih sredstava iznose 2.477 kn.</w:t>
      </w:r>
    </w:p>
    <w:p w:rsidR="00B04409" w:rsidRDefault="00C03589" w:rsidP="007F297F">
      <w:pPr>
        <w:rPr>
          <w:sz w:val="24"/>
          <w:szCs w:val="24"/>
        </w:rPr>
      </w:pPr>
      <w:r>
        <w:rPr>
          <w:b/>
          <w:sz w:val="24"/>
          <w:szCs w:val="24"/>
        </w:rPr>
        <w:t>Bilješka broj 23</w:t>
      </w:r>
      <w:r w:rsidR="00B04409">
        <w:rPr>
          <w:b/>
          <w:sz w:val="24"/>
          <w:szCs w:val="24"/>
        </w:rPr>
        <w:t xml:space="preserve"> – AOP </w:t>
      </w:r>
      <w:r w:rsidR="00B21BD0">
        <w:rPr>
          <w:b/>
          <w:sz w:val="24"/>
          <w:szCs w:val="24"/>
        </w:rPr>
        <w:t xml:space="preserve">635 – </w:t>
      </w:r>
      <w:r w:rsidR="00B21BD0">
        <w:rPr>
          <w:sz w:val="24"/>
          <w:szCs w:val="24"/>
        </w:rPr>
        <w:t>Višak prihoda i primitaka raspoloživ u narednom razdoblju iznosi 467.919 kn i manji je u odnosu na prošlu godinu.</w:t>
      </w:r>
    </w:p>
    <w:p w:rsidR="00B21BD0" w:rsidRDefault="00C03589" w:rsidP="007F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Bilješka broj 24 - </w:t>
      </w:r>
      <w:r w:rsidR="00B21BD0">
        <w:rPr>
          <w:b/>
          <w:sz w:val="24"/>
          <w:szCs w:val="24"/>
        </w:rPr>
        <w:t>Utvrđivanje rezultata poslovanja</w:t>
      </w:r>
    </w:p>
    <w:p w:rsidR="00B21BD0" w:rsidRDefault="00B21BD0" w:rsidP="007F297F">
      <w:pPr>
        <w:rPr>
          <w:sz w:val="24"/>
          <w:szCs w:val="24"/>
        </w:rPr>
      </w:pPr>
      <w:r>
        <w:rPr>
          <w:sz w:val="24"/>
          <w:szCs w:val="24"/>
        </w:rPr>
        <w:t>Prije izrade financijski izvješća za 2020. godinu provedena su zaključna knjiženja kojima se utvrđuje rezultat poslovanja. Utvrđivanje rezultata na kraju godine provodi se zatvaranjem računa rashoda i izdataka te prihoda i primitaka.</w:t>
      </w:r>
    </w:p>
    <w:p w:rsidR="004276C7" w:rsidRDefault="004276C7" w:rsidP="007F297F">
      <w:pPr>
        <w:rPr>
          <w:sz w:val="24"/>
          <w:szCs w:val="24"/>
        </w:rPr>
      </w:pPr>
      <w:r>
        <w:rPr>
          <w:sz w:val="24"/>
          <w:szCs w:val="24"/>
        </w:rPr>
        <w:t>Stoga izračun slijedi:</w:t>
      </w:r>
    </w:p>
    <w:p w:rsidR="004276C7" w:rsidRDefault="00D67EA9" w:rsidP="007F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Izračun financijskog rezultata kroz zaključna knjiženja:</w:t>
      </w: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t xml:space="preserve">Sučeljavanjem prihoda i rashoda poslovanja (razred 3 i 6) te prihoda i rashoda od nefinancijske imovine (razred 4 i 7), dobiven je financijski rezultat u iznosu od  467.919 kn koji predstavlja višak prihoda i primitaka za sljedeće razdoblje, a izračun je </w:t>
      </w:r>
      <w:proofErr w:type="spellStart"/>
      <w:r>
        <w:rPr>
          <w:sz w:val="24"/>
          <w:szCs w:val="24"/>
        </w:rPr>
        <w:t>sljdeći</w:t>
      </w:r>
      <w:proofErr w:type="spellEnd"/>
      <w:r>
        <w:rPr>
          <w:sz w:val="24"/>
          <w:szCs w:val="24"/>
        </w:rPr>
        <w:t>:</w:t>
      </w:r>
    </w:p>
    <w:p w:rsidR="00D67EA9" w:rsidRDefault="00D67EA9" w:rsidP="007F297F">
      <w:pPr>
        <w:rPr>
          <w:sz w:val="24"/>
          <w:szCs w:val="24"/>
        </w:rPr>
      </w:pPr>
    </w:p>
    <w:p w:rsidR="00D67EA9" w:rsidRDefault="00D67EA9" w:rsidP="007F297F">
      <w:pPr>
        <w:rPr>
          <w:sz w:val="24"/>
          <w:szCs w:val="24"/>
        </w:rPr>
      </w:pPr>
    </w:p>
    <w:p w:rsidR="00D67EA9" w:rsidRDefault="00D67EA9" w:rsidP="007F297F">
      <w:pPr>
        <w:rPr>
          <w:sz w:val="24"/>
          <w:szCs w:val="24"/>
        </w:rPr>
      </w:pP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Prihodi poslovanja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7.216.584,51</w:t>
      </w: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t>Rashodi poslovanja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7.434.255,44</w:t>
      </w: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9215E5">
        <w:rPr>
          <w:sz w:val="24"/>
          <w:szCs w:val="24"/>
        </w:rPr>
        <w:t>____</w:t>
      </w: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t>Rezultat: manjak</w:t>
      </w:r>
      <w:r w:rsidR="009215E5">
        <w:rPr>
          <w:sz w:val="24"/>
          <w:szCs w:val="24"/>
        </w:rPr>
        <w:t xml:space="preserve"> prihoda</w:t>
      </w:r>
      <w:r>
        <w:rPr>
          <w:sz w:val="24"/>
          <w:szCs w:val="24"/>
        </w:rPr>
        <w:t xml:space="preserve"> poslovanja</w:t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</w:r>
      <w:r>
        <w:rPr>
          <w:sz w:val="24"/>
          <w:szCs w:val="24"/>
        </w:rPr>
        <w:t>217.670,93</w:t>
      </w:r>
    </w:p>
    <w:p w:rsidR="00D67EA9" w:rsidRDefault="00D67EA9" w:rsidP="007F297F">
      <w:pPr>
        <w:rPr>
          <w:sz w:val="24"/>
          <w:szCs w:val="24"/>
        </w:rPr>
      </w:pP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t xml:space="preserve">Prihodi od nefinancijske imovine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</w:p>
    <w:p w:rsidR="00D67EA9" w:rsidRDefault="00D67EA9" w:rsidP="007F297F">
      <w:pPr>
        <w:rPr>
          <w:sz w:val="24"/>
          <w:szCs w:val="24"/>
        </w:rPr>
      </w:pPr>
      <w:r>
        <w:rPr>
          <w:sz w:val="24"/>
          <w:szCs w:val="24"/>
        </w:rPr>
        <w:t>Rashodi od</w:t>
      </w:r>
      <w:r w:rsidR="009215E5">
        <w:rPr>
          <w:sz w:val="24"/>
          <w:szCs w:val="24"/>
        </w:rPr>
        <w:t xml:space="preserve"> nefinancijske imovine</w:t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</w:r>
      <w:r w:rsidR="009215E5">
        <w:rPr>
          <w:sz w:val="24"/>
          <w:szCs w:val="24"/>
        </w:rPr>
        <w:tab/>
        <w:t>2.476,81</w:t>
      </w: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>Rezultat: manjak prihoda nefinancijske imovine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2.476,81</w:t>
      </w:r>
    </w:p>
    <w:p w:rsidR="009215E5" w:rsidRDefault="009215E5" w:rsidP="007F297F">
      <w:pPr>
        <w:rPr>
          <w:sz w:val="24"/>
          <w:szCs w:val="24"/>
        </w:rPr>
      </w:pPr>
    </w:p>
    <w:p w:rsidR="009215E5" w:rsidRDefault="009215E5" w:rsidP="007F297F">
      <w:pPr>
        <w:rPr>
          <w:sz w:val="24"/>
          <w:szCs w:val="24"/>
        </w:rPr>
      </w:pP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>Manjak prihoda poslovanja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217.670,93</w:t>
      </w: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>Manjak prihoda nefinancijske imovine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2.476,81</w:t>
      </w: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>UKUPAN MANJAK PRIHODA: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220.147,74</w:t>
      </w:r>
    </w:p>
    <w:p w:rsidR="009215E5" w:rsidRDefault="009215E5" w:rsidP="007F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Rezultat poslovanja u 2020. god. : Manjak prihoda i primitaka  </w:t>
      </w:r>
      <w:r w:rsidR="00D464F2">
        <w:rPr>
          <w:b/>
          <w:sz w:val="24"/>
          <w:szCs w:val="24"/>
        </w:rPr>
        <w:tab/>
      </w:r>
      <w:r>
        <w:rPr>
          <w:b/>
          <w:sz w:val="24"/>
          <w:szCs w:val="24"/>
        </w:rPr>
        <w:t>220.147,74</w:t>
      </w:r>
      <w:r w:rsidR="00D464F2">
        <w:rPr>
          <w:b/>
          <w:sz w:val="24"/>
          <w:szCs w:val="24"/>
        </w:rPr>
        <w:t xml:space="preserve"> (AOP407)</w:t>
      </w:r>
    </w:p>
    <w:p w:rsidR="009215E5" w:rsidRDefault="00D464F2" w:rsidP="007F297F">
      <w:pPr>
        <w:rPr>
          <w:sz w:val="24"/>
          <w:szCs w:val="24"/>
        </w:rPr>
      </w:pPr>
      <w:r>
        <w:rPr>
          <w:sz w:val="24"/>
          <w:szCs w:val="24"/>
        </w:rPr>
        <w:t>Utvrđivanje rezultata raspoloživog za sljedeće razdoblje:</w:t>
      </w:r>
    </w:p>
    <w:p w:rsidR="00D464F2" w:rsidRDefault="00D464F2" w:rsidP="007F297F">
      <w:pPr>
        <w:rPr>
          <w:sz w:val="24"/>
          <w:szCs w:val="24"/>
        </w:rPr>
      </w:pPr>
      <w:r>
        <w:rPr>
          <w:sz w:val="24"/>
          <w:szCs w:val="24"/>
        </w:rPr>
        <w:t>Preneseni rezultat u 2019. god.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668.066,51</w:t>
      </w:r>
    </w:p>
    <w:p w:rsidR="00D464F2" w:rsidRDefault="00D464F2" w:rsidP="007F297F">
      <w:pPr>
        <w:rPr>
          <w:sz w:val="24"/>
          <w:szCs w:val="24"/>
        </w:rPr>
      </w:pPr>
      <w:r>
        <w:rPr>
          <w:sz w:val="24"/>
          <w:szCs w:val="24"/>
        </w:rPr>
        <w:t>Utvrđeni rezultat u 2020. god.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220.147,81</w:t>
      </w:r>
    </w:p>
    <w:p w:rsidR="00D464F2" w:rsidRDefault="00D464F2" w:rsidP="007F297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D464F2" w:rsidRDefault="00D464F2" w:rsidP="007F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Višak prihoda i primitaka raspoloživ u sljedećem razdoblju </w:t>
      </w:r>
      <w:r>
        <w:rPr>
          <w:b/>
          <w:sz w:val="24"/>
          <w:szCs w:val="24"/>
        </w:rPr>
        <w:tab/>
        <w:t>467.918,70 (AOP635)</w:t>
      </w:r>
    </w:p>
    <w:p w:rsidR="00C03589" w:rsidRDefault="00C03589" w:rsidP="007F297F">
      <w:pPr>
        <w:rPr>
          <w:b/>
          <w:sz w:val="24"/>
          <w:szCs w:val="24"/>
        </w:rPr>
      </w:pPr>
    </w:p>
    <w:p w:rsidR="00C03589" w:rsidRDefault="00C03589" w:rsidP="007F297F">
      <w:pPr>
        <w:rPr>
          <w:b/>
          <w:sz w:val="24"/>
          <w:szCs w:val="24"/>
        </w:rPr>
      </w:pPr>
    </w:p>
    <w:p w:rsidR="00C03589" w:rsidRDefault="00C03589" w:rsidP="007F297F">
      <w:pPr>
        <w:rPr>
          <w:b/>
          <w:sz w:val="24"/>
          <w:szCs w:val="24"/>
        </w:rPr>
      </w:pPr>
    </w:p>
    <w:p w:rsidR="00C03589" w:rsidRDefault="00C03589" w:rsidP="00C035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obrazac</w:t>
      </w:r>
    </w:p>
    <w:p w:rsidR="00C03589" w:rsidRDefault="00C03589" w:rsidP="00C035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IZVJEŠTAJ O RASHODIMA PREMA FUNKCIJSKOJ KLASIFIKACIJI (RAS – funkcijski)</w:t>
      </w:r>
    </w:p>
    <w:p w:rsidR="00C03589" w:rsidRDefault="00C03589" w:rsidP="00C03589">
      <w:pPr>
        <w:jc w:val="center"/>
        <w:rPr>
          <w:b/>
          <w:sz w:val="24"/>
          <w:szCs w:val="24"/>
        </w:rPr>
      </w:pPr>
    </w:p>
    <w:p w:rsidR="00076EB1" w:rsidRDefault="00C03589" w:rsidP="00C0358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25 – AOP 116 – Više srednjoškolsko obrazovanje – </w:t>
      </w:r>
      <w:r>
        <w:rPr>
          <w:sz w:val="24"/>
          <w:szCs w:val="24"/>
        </w:rPr>
        <w:t>Izvještaj o rashodima prema funkcijskoj klasifikaciji sastavlja se na obrascu: RAS-funkcijski. U obrascu su iskazani rashodi poslovanja i rashodi za nabavu nefinancijske imovine razvrstani prema njihovoj namjeni, a iskazani na poziciji AOP 404. Prema tumačenju Ministarstva znanosti i obrazovanja svi rash</w:t>
      </w:r>
      <w:r w:rsidR="00076EB1">
        <w:rPr>
          <w:sz w:val="24"/>
          <w:szCs w:val="24"/>
        </w:rPr>
        <w:t>odi ostvareni u 2020. godini bez</w:t>
      </w:r>
      <w:r>
        <w:rPr>
          <w:sz w:val="24"/>
          <w:szCs w:val="24"/>
        </w:rPr>
        <w:t xml:space="preserve"> prenesenog rezultata iskazuju se na jednoj funkciji – 0922 Više srednjoškolsko obrazovanje </w:t>
      </w:r>
      <w:r w:rsidR="00076EB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76EB1">
        <w:rPr>
          <w:sz w:val="24"/>
          <w:szCs w:val="24"/>
        </w:rPr>
        <w:t>7.463.732 kn.</w:t>
      </w:r>
    </w:p>
    <w:p w:rsidR="00076EB1" w:rsidRDefault="00502E53" w:rsidP="00502E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PVRIO</w:t>
      </w:r>
    </w:p>
    <w:p w:rsidR="00076EB1" w:rsidRDefault="00076EB1" w:rsidP="00076E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26 – </w:t>
      </w:r>
      <w:r>
        <w:rPr>
          <w:sz w:val="24"/>
          <w:szCs w:val="24"/>
        </w:rPr>
        <w:t xml:space="preserve">Obrazac PVRIO prikazuje promjene u obujmu i vrijednosti imovine. Srednja medicinska škola nije zabilježila u poslovnim događajima promjene </w:t>
      </w:r>
      <w:r w:rsidR="00502E53">
        <w:rPr>
          <w:sz w:val="24"/>
          <w:szCs w:val="24"/>
        </w:rPr>
        <w:t>u vrijednosti i obujmu imovine.</w:t>
      </w:r>
    </w:p>
    <w:p w:rsidR="00076EB1" w:rsidRDefault="00076EB1" w:rsidP="00076E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 w:rsidR="00076EB1" w:rsidRDefault="00076EB1" w:rsidP="00076E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27 – AOP 001 - Stanje obveza 1. siječanj – </w:t>
      </w:r>
      <w:r>
        <w:rPr>
          <w:sz w:val="24"/>
          <w:szCs w:val="24"/>
        </w:rPr>
        <w:t>Stanje obveza na početku izvještajnog razdoblja iznosilo je 639.707 te je preuzeto  iz Izvještaja o obvezama za prethodno razdoblje s AOP-a 036 predanog za 2019. godinu kao stanje obveza na kraju izvještajnog razdoblja.</w:t>
      </w:r>
    </w:p>
    <w:p w:rsidR="00502E53" w:rsidRDefault="00076EB1" w:rsidP="00076EB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Bilješka broj 28 – AOP 036 – Stanje obveza na kraju izvještajnog razdoblja – </w:t>
      </w:r>
      <w:r>
        <w:rPr>
          <w:sz w:val="24"/>
          <w:szCs w:val="24"/>
        </w:rPr>
        <w:t>Stanje obveza na kraju 2020. godine iznosi 638.248 kn</w:t>
      </w:r>
      <w:r w:rsidR="00DC3047">
        <w:rPr>
          <w:sz w:val="24"/>
          <w:szCs w:val="24"/>
        </w:rPr>
        <w:t xml:space="preserve"> </w:t>
      </w:r>
      <w:proofErr w:type="spellStart"/>
      <w:r w:rsidR="00DC3047">
        <w:rPr>
          <w:sz w:val="24"/>
          <w:szCs w:val="24"/>
        </w:rPr>
        <w:t>kkao</w:t>
      </w:r>
      <w:proofErr w:type="spellEnd"/>
      <w:r w:rsidR="00DC3047">
        <w:rPr>
          <w:sz w:val="24"/>
          <w:szCs w:val="24"/>
        </w:rPr>
        <w:t xml:space="preserve"> što je prikazano na obrascu AOP-u 036, a jednako stanje iskazano je na obrascu Bilanca AOP-u 169. Na dan 31.12.2020. godine obveze za rashode dospjele su u vrijednosti 83.726 kn, a odnose se na plaću</w:t>
      </w:r>
      <w:r w:rsidR="00502E53">
        <w:rPr>
          <w:sz w:val="24"/>
          <w:szCs w:val="24"/>
        </w:rPr>
        <w:t xml:space="preserve"> za prosinac 2020.godine, a koja će biti isplaćena u siječnju 2021. godine, zatim vanjsku suradnju, odnosno drugi dohodak, naknadu za prijevoz zaposlenicima za mjesec prosinac 2020.godine a koja će biti isplaćena u siječnju 2021. godine za iznos nenaplaćenih računa za materijalne troškove što će biti isplaćeno tijekom mjeseca siječnja 2021. godine.</w:t>
      </w:r>
    </w:p>
    <w:p w:rsidR="00502E53" w:rsidRDefault="00502E53" w:rsidP="00076EB1">
      <w:pPr>
        <w:rPr>
          <w:sz w:val="24"/>
          <w:szCs w:val="24"/>
        </w:rPr>
      </w:pPr>
      <w:r>
        <w:rPr>
          <w:sz w:val="24"/>
          <w:szCs w:val="24"/>
        </w:rPr>
        <w:t xml:space="preserve">U Slavonskom Brodu </w:t>
      </w:r>
    </w:p>
    <w:p w:rsidR="00501D3F" w:rsidRDefault="00501D3F" w:rsidP="00076E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Ravnateljica:</w:t>
      </w:r>
    </w:p>
    <w:p w:rsidR="00501D3F" w:rsidRDefault="00501D3F" w:rsidP="00076E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Jelinić – Bošnjak Jelena</w:t>
      </w:r>
    </w:p>
    <w:p w:rsidR="00501D3F" w:rsidRPr="00076EB1" w:rsidRDefault="00501D3F" w:rsidP="00076E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:rsidR="00076EB1" w:rsidRPr="00C03589" w:rsidRDefault="00076EB1" w:rsidP="00C03589">
      <w:pPr>
        <w:rPr>
          <w:sz w:val="24"/>
          <w:szCs w:val="24"/>
        </w:rPr>
      </w:pPr>
    </w:p>
    <w:p w:rsidR="00D464F2" w:rsidRPr="00D464F2" w:rsidRDefault="00D464F2" w:rsidP="007F297F">
      <w:pPr>
        <w:rPr>
          <w:sz w:val="24"/>
          <w:szCs w:val="24"/>
        </w:rPr>
      </w:pPr>
    </w:p>
    <w:p w:rsidR="009215E5" w:rsidRDefault="009215E5" w:rsidP="007F29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67EA9" w:rsidRDefault="00D67EA9" w:rsidP="007F297F">
      <w:pPr>
        <w:rPr>
          <w:sz w:val="24"/>
          <w:szCs w:val="24"/>
        </w:rPr>
      </w:pPr>
    </w:p>
    <w:p w:rsidR="00D67EA9" w:rsidRPr="00D67EA9" w:rsidRDefault="00D67EA9" w:rsidP="007F297F">
      <w:pPr>
        <w:rPr>
          <w:sz w:val="24"/>
          <w:szCs w:val="24"/>
        </w:rPr>
      </w:pPr>
    </w:p>
    <w:p w:rsidR="00B21BD0" w:rsidRDefault="00B21BD0" w:rsidP="007F297F">
      <w:pPr>
        <w:rPr>
          <w:sz w:val="24"/>
          <w:szCs w:val="24"/>
        </w:rPr>
      </w:pPr>
    </w:p>
    <w:p w:rsidR="00B21BD0" w:rsidRPr="00B21BD0" w:rsidRDefault="00B21BD0" w:rsidP="007F297F">
      <w:pPr>
        <w:rPr>
          <w:sz w:val="24"/>
          <w:szCs w:val="24"/>
        </w:rPr>
      </w:pPr>
    </w:p>
    <w:p w:rsidR="008A0EF4" w:rsidRPr="008A0EF4" w:rsidRDefault="008A0EF4" w:rsidP="007F297F">
      <w:pPr>
        <w:rPr>
          <w:sz w:val="24"/>
          <w:szCs w:val="24"/>
        </w:rPr>
      </w:pPr>
    </w:p>
    <w:p w:rsidR="007C11B2" w:rsidRPr="001420CB" w:rsidRDefault="007C11B2" w:rsidP="007C11B2">
      <w:pPr>
        <w:rPr>
          <w:sz w:val="24"/>
          <w:szCs w:val="24"/>
        </w:rPr>
      </w:pPr>
    </w:p>
    <w:p w:rsidR="00222F84" w:rsidRPr="00CB46ED" w:rsidRDefault="00CB46ED" w:rsidP="00CB46ED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22F84" w:rsidRPr="00CB46ED" w:rsidSect="00A543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08" w:right="1440" w:bottom="26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F8" w:rsidRDefault="00930EF8" w:rsidP="002A129B">
      <w:pPr>
        <w:spacing w:after="0" w:line="240" w:lineRule="auto"/>
      </w:pPr>
      <w:r>
        <w:separator/>
      </w:r>
    </w:p>
  </w:endnote>
  <w:endnote w:type="continuationSeparator" w:id="0">
    <w:p w:rsidR="00930EF8" w:rsidRDefault="00930EF8" w:rsidP="002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A" w:rsidRDefault="00723E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90" w:rsidRDefault="00055107">
    <w:pPr>
      <w:pStyle w:val="Podnoje"/>
    </w:pPr>
    <w:r>
      <w:rPr>
        <w:rFonts w:asciiTheme="majorHAnsi" w:eastAsia="Times New Roman" w:hAnsiTheme="majorHAnsi" w:cs="Arial"/>
        <w:noProof/>
        <w:color w:val="000000"/>
        <w:lang w:eastAsia="hr-HR"/>
      </w:rPr>
      <w:drawing>
        <wp:anchor distT="0" distB="0" distL="114300" distR="114300" simplePos="0" relativeHeight="251681792" behindDoc="0" locked="0" layoutInCell="1" allowOverlap="1" wp14:anchorId="619CFDCF" wp14:editId="5EC1C903">
          <wp:simplePos x="0" y="0"/>
          <wp:positionH relativeFrom="margin">
            <wp:posOffset>2781300</wp:posOffset>
          </wp:positionH>
          <wp:positionV relativeFrom="page">
            <wp:posOffset>9099550</wp:posOffset>
          </wp:positionV>
          <wp:extent cx="504825" cy="466725"/>
          <wp:effectExtent l="0" t="0" r="9525" b="9525"/>
          <wp:wrapThrough wrapText="bothSides">
            <wp:wrapPolygon edited="0">
              <wp:start x="3260" y="0"/>
              <wp:lineTo x="0" y="4408"/>
              <wp:lineTo x="0" y="11461"/>
              <wp:lineTo x="3260" y="15869"/>
              <wp:lineTo x="8151" y="21159"/>
              <wp:lineTo x="13857" y="21159"/>
              <wp:lineTo x="21192" y="11461"/>
              <wp:lineTo x="21192" y="3527"/>
              <wp:lineTo x="17932" y="0"/>
              <wp:lineTo x="326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300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53A3BAF" wp14:editId="46106A10">
              <wp:simplePos x="0" y="0"/>
              <wp:positionH relativeFrom="margin">
                <wp:align>center</wp:align>
              </wp:positionH>
              <wp:positionV relativeFrom="page">
                <wp:posOffset>9154900</wp:posOffset>
              </wp:positionV>
              <wp:extent cx="6658851" cy="658495"/>
              <wp:effectExtent l="0" t="0" r="889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85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9E9" w:rsidRPr="002E79E9" w:rsidRDefault="002E79E9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A3B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20.85pt;width:524.3pt;height:51.8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" stroked="f">
              <v:textbox style="mso-fit-shape-to-text:t">
                <w:txbxContent>
                  <w:p w:rsidR="002E79E9" w:rsidRPr="002E79E9" w:rsidRDefault="002E79E9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 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E79E9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8603042" wp14:editId="4D2833CF">
              <wp:simplePos x="0" y="0"/>
              <wp:positionH relativeFrom="column">
                <wp:posOffset>3657600</wp:posOffset>
              </wp:positionH>
              <wp:positionV relativeFrom="page">
                <wp:posOffset>9467850</wp:posOffset>
              </wp:positionV>
              <wp:extent cx="2514600" cy="65849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Default="006F0D0A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Račun </w:t>
                          </w:r>
                          <w:r w:rsidRPr="002E79E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za redovno poslovanje društva vodi se kod</w:t>
                          </w:r>
                          <w:r w:rsidR="00690DD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IBAN</w:t>
                          </w: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HR57 23400091800012004</w:t>
                          </w:r>
                        </w:p>
                        <w:p w:rsidR="006F0D0A" w:rsidRPr="006F0D0A" w:rsidRDefault="00690DD6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EC32F9">
                            <w:rPr>
                              <w:rFonts w:asciiTheme="minorHAnsi" w:hAnsiTheme="minorHAnsi"/>
                              <w:color w:val="FF0000"/>
                              <w:sz w:val="18"/>
                              <w:szCs w:val="18"/>
                            </w:rPr>
                            <w:t xml:space="preserve">SWIFT: PBZGHR2X </w:t>
                          </w:r>
                          <w:r w:rsidRPr="00690DD6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(kod PBZ d.d., Zagreb)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PDV identifikacijski broj:</w:t>
                          </w:r>
                          <w:r w:rsidRPr="00690DD6"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HR33786360839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603042" id="Text Box 3" o:spid="_x0000_s1029" type="#_x0000_t202" style="position:absolute;margin-left:4in;margin-top:745.5pt;width:198pt;height:51.85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" stroked="f">
              <v:textbox style="mso-fit-shape-to-text:t">
                <w:txbxContent>
                  <w:p w:rsidR="00E456E1" w:rsidRDefault="006F0D0A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Račun </w:t>
                    </w:r>
                    <w:r w:rsidRPr="002E79E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za redovno poslovanje društva vodi se kod</w:t>
                    </w:r>
                    <w:r w:rsidR="00690DD6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IBAN</w:t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HR57 23400091800012004</w:t>
                    </w:r>
                  </w:p>
                  <w:p w:rsidR="006F0D0A" w:rsidRPr="006F0D0A" w:rsidRDefault="00690DD6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EC32F9">
                      <w:rPr>
                        <w:rFonts w:asciiTheme="minorHAnsi" w:hAnsiTheme="minorHAnsi"/>
                        <w:color w:val="FF0000"/>
                        <w:sz w:val="18"/>
                        <w:szCs w:val="18"/>
                      </w:rPr>
                      <w:t xml:space="preserve">SWIFT: PBZGHR2X </w:t>
                    </w:r>
                    <w:r w:rsidRPr="00690DD6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(kod PBZ d.d., Zagreb)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PDV identifikacijski broj:</w:t>
                    </w:r>
                    <w:r w:rsidRPr="00690DD6"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HR33786360839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E79E9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>
              <wp:simplePos x="0" y="0"/>
              <wp:positionH relativeFrom="column">
                <wp:posOffset>-333375</wp:posOffset>
              </wp:positionH>
              <wp:positionV relativeFrom="page">
                <wp:posOffset>9467850</wp:posOffset>
              </wp:positionV>
              <wp:extent cx="2876550" cy="803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03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107" w:rsidRDefault="00055107" w:rsidP="00055107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Upis u registar podaci</w:t>
                          </w:r>
                          <w:r w:rsidR="006F0D0A" w:rsidRPr="002E79E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>Trgovački sud u Osijeku stal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na služba u Slavonskom Brodu </w:t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33786360839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0DD6">
                            <w:rPr>
                              <w:sz w:val="18"/>
                              <w:szCs w:val="18"/>
                            </w:rPr>
                            <w:t>MBS:</w:t>
                          </w:r>
                          <w:r w:rsidR="00EC32F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03776441</w:t>
                          </w:r>
                          <w:r w:rsidR="00690DD6" w:rsidRPr="00690DD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F0D0A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Jelena Jelinić-Bošnjak,</w:t>
                          </w:r>
                          <w:r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  <w:t xml:space="preserve"> 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ravnatelj</w:t>
                          </w:r>
                        </w:p>
                        <w:p w:rsidR="006F0D0A" w:rsidRPr="006F0D0A" w:rsidRDefault="006F0D0A" w:rsidP="002E79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-26.25pt;margin-top:745.5pt;width:226.5pt;height:63.3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" filled="f" stroked="f">
              <v:textbox style="mso-fit-shape-to-text:t">
                <w:txbxContent>
                  <w:p w:rsidR="00055107" w:rsidRDefault="00055107" w:rsidP="00055107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</w:pPr>
                    <w:r>
                      <w:rPr>
                        <w:sz w:val="18"/>
                        <w:szCs w:val="18"/>
                      </w:rPr>
                      <w:t>Upis u registar podaci</w:t>
                    </w:r>
                    <w:r w:rsidR="006F0D0A" w:rsidRPr="002E79E9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6F0D0A" w:rsidRPr="006F0D0A">
                      <w:rPr>
                        <w:sz w:val="18"/>
                        <w:szCs w:val="18"/>
                      </w:rPr>
                      <w:t>Trgovački sud u Osijeku stal</w:t>
                    </w:r>
                    <w:r w:rsidR="00E456E1">
                      <w:rPr>
                        <w:sz w:val="18"/>
                        <w:szCs w:val="18"/>
                      </w:rPr>
                      <w:t xml:space="preserve">na služba u Slavonskom Brodu </w:t>
                    </w:r>
                    <w:r w:rsidR="006F0D0A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>OIB: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33786360839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690DD6">
                      <w:rPr>
                        <w:sz w:val="18"/>
                        <w:szCs w:val="18"/>
                      </w:rPr>
                      <w:t>MBS:</w:t>
                    </w:r>
                    <w:r w:rsidR="00EC32F9">
                      <w:rPr>
                        <w:color w:val="808080" w:themeColor="background1" w:themeShade="80"/>
                        <w:sz w:val="18"/>
                        <w:szCs w:val="18"/>
                      </w:rPr>
                      <w:t>03776441</w:t>
                    </w:r>
                    <w:r w:rsidR="00690DD6" w:rsidRPr="00690DD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 </w:t>
                    </w:r>
                    <w:r w:rsidR="006F0D0A">
                      <w:rPr>
                        <w:sz w:val="18"/>
                        <w:szCs w:val="18"/>
                      </w:rPr>
                      <w:br/>
                    </w:r>
                    <w:r w:rsidRPr="00055107"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Jelena Jelinić-Bošnjak,</w:t>
                    </w:r>
                    <w:r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  <w:t xml:space="preserve"> </w:t>
                    </w:r>
                    <w:r w:rsidRPr="00055107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ravnatelj</w:t>
                    </w:r>
                  </w:p>
                  <w:p w:rsidR="006F0D0A" w:rsidRPr="006F0D0A" w:rsidRDefault="006F0D0A" w:rsidP="002E79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A" w:rsidRDefault="00723E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F8" w:rsidRDefault="00930EF8" w:rsidP="002A129B">
      <w:pPr>
        <w:spacing w:after="0" w:line="240" w:lineRule="auto"/>
      </w:pPr>
      <w:r>
        <w:separator/>
      </w:r>
    </w:p>
  </w:footnote>
  <w:footnote w:type="continuationSeparator" w:id="0">
    <w:p w:rsidR="00930EF8" w:rsidRDefault="00930EF8" w:rsidP="002A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A" w:rsidRDefault="00723E7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9B" w:rsidRDefault="0005510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-495300</wp:posOffset>
          </wp:positionH>
          <wp:positionV relativeFrom="page">
            <wp:posOffset>504825</wp:posOffset>
          </wp:positionV>
          <wp:extent cx="3316605" cy="704850"/>
          <wp:effectExtent l="0" t="0" r="0" b="0"/>
          <wp:wrapThrough wrapText="bothSides">
            <wp:wrapPolygon edited="0">
              <wp:start x="1241" y="584"/>
              <wp:lineTo x="496" y="3503"/>
              <wp:lineTo x="248" y="6422"/>
              <wp:lineTo x="372" y="11092"/>
              <wp:lineTo x="2233" y="19849"/>
              <wp:lineTo x="2357" y="21016"/>
              <wp:lineTo x="3102" y="21016"/>
              <wp:lineTo x="18610" y="19849"/>
              <wp:lineTo x="21464" y="18681"/>
              <wp:lineTo x="21464" y="4086"/>
              <wp:lineTo x="17493" y="2335"/>
              <wp:lineTo x="4218" y="584"/>
              <wp:lineTo x="1241" y="584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dicinska_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6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6E1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055AF9FB" wp14:editId="0E34CDD4">
              <wp:simplePos x="0" y="0"/>
              <wp:positionH relativeFrom="margin">
                <wp:align>center</wp:align>
              </wp:positionH>
              <wp:positionV relativeFrom="page">
                <wp:posOffset>1276350</wp:posOffset>
              </wp:positionV>
              <wp:extent cx="6838950" cy="658495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Pr="002E79E9" w:rsidRDefault="00E456E1" w:rsidP="00E456E1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AF9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00.5pt;width:538.5pt;height:51.85pt;z-index:-2516398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" stroked="f">
              <v:textbox style="mso-fit-shape-to-text:t">
                <w:txbxContent>
                  <w:p w:rsidR="00E456E1" w:rsidRPr="002E79E9" w:rsidRDefault="00E456E1" w:rsidP="00E456E1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F0D0A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3386455</wp:posOffset>
              </wp:positionH>
              <wp:positionV relativeFrom="paragraph">
                <wp:posOffset>27305</wp:posOffset>
              </wp:positionV>
              <wp:extent cx="29051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090" w:rsidRPr="002E79E9" w:rsidRDefault="00055107" w:rsidP="002E79E9">
                          <w:pPr>
                            <w:spacing w:line="276" w:lineRule="auto"/>
                            <w:jc w:val="right"/>
                          </w:pPr>
                          <w:r>
                            <w:t>SREDNJA MEDICINSKA ŠKOLA SLAVONSKI BROD</w:t>
                          </w:r>
                          <w:r w:rsidR="006F0D0A">
                            <w:br/>
                          </w:r>
                          <w:r w:rsidR="00A40258" w:rsidRPr="00A40258">
                            <w:rPr>
                              <w:sz w:val="18"/>
                              <w:szCs w:val="18"/>
                            </w:rPr>
                            <w:t xml:space="preserve">Adresa: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Vatroslava Jagića 3A, 35000 Slavonski Brod</w:t>
                          </w:r>
                          <w:r w:rsidR="00A4025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394090" w:rsidRPr="00A4025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sms@ss-medicinska-sb.skole.hr</w:t>
                          </w:r>
                          <w:r w:rsidR="0063047B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E456E1" w:rsidRPr="00E456E1">
                            <w:rPr>
                              <w:sz w:val="18"/>
                              <w:szCs w:val="18"/>
                            </w:rPr>
                            <w:t>Web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: www.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srednja-medicinska-skola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.hr</w:t>
                          </w:r>
                          <w:r w:rsidR="00394090" w:rsidRPr="0039409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266.65pt;margin-top:2.1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" filled="f" stroked="f">
              <v:textbox style="mso-fit-shape-to-text:t">
                <w:txbxContent>
                  <w:p w:rsidR="00394090" w:rsidRPr="002E79E9" w:rsidRDefault="00055107" w:rsidP="002E79E9">
                    <w:pPr>
                      <w:spacing w:line="276" w:lineRule="auto"/>
                      <w:jc w:val="right"/>
                    </w:pPr>
                    <w:r>
                      <w:t>SREDNJA MEDICINSKA ŠKOLA SLAVONSKI BROD</w:t>
                    </w:r>
                    <w:r w:rsidR="006F0D0A">
                      <w:br/>
                    </w:r>
                    <w:r w:rsidR="00A40258" w:rsidRPr="00A40258">
                      <w:rPr>
                        <w:sz w:val="18"/>
                        <w:szCs w:val="18"/>
                      </w:rPr>
                      <w:t xml:space="preserve">Adresa: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Vatroslava Jagića 3A, 35000 Slavonski Brod</w:t>
                    </w:r>
                    <w:r w:rsidR="00A40258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394090" w:rsidRPr="00A40258">
                      <w:rPr>
                        <w:sz w:val="18"/>
                        <w:szCs w:val="18"/>
                      </w:rPr>
                      <w:t xml:space="preserve">Email: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sms@ss-medicinska-sb.skole.hr</w:t>
                    </w:r>
                    <w:r w:rsidR="0063047B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E456E1" w:rsidRPr="00E456E1">
                      <w:rPr>
                        <w:sz w:val="18"/>
                        <w:szCs w:val="18"/>
                      </w:rPr>
                      <w:t>Web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: www.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srednja-medicinska-skola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.hr</w:t>
                    </w:r>
                    <w:r w:rsidR="00394090" w:rsidRPr="00394090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7A" w:rsidRDefault="00723E7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C8"/>
    <w:rsid w:val="00055107"/>
    <w:rsid w:val="0006139A"/>
    <w:rsid w:val="0006406C"/>
    <w:rsid w:val="00076EB1"/>
    <w:rsid w:val="000E3F53"/>
    <w:rsid w:val="00175AC8"/>
    <w:rsid w:val="001B3DA8"/>
    <w:rsid w:val="002075BA"/>
    <w:rsid w:val="00222F84"/>
    <w:rsid w:val="002A129B"/>
    <w:rsid w:val="002E79E9"/>
    <w:rsid w:val="00360566"/>
    <w:rsid w:val="00394090"/>
    <w:rsid w:val="003D35B3"/>
    <w:rsid w:val="003E6086"/>
    <w:rsid w:val="004276C7"/>
    <w:rsid w:val="00477873"/>
    <w:rsid w:val="004A73D9"/>
    <w:rsid w:val="004C3A84"/>
    <w:rsid w:val="00501D3F"/>
    <w:rsid w:val="00502E53"/>
    <w:rsid w:val="00580B2B"/>
    <w:rsid w:val="005E2FB2"/>
    <w:rsid w:val="0063047B"/>
    <w:rsid w:val="00651AA0"/>
    <w:rsid w:val="00690DD6"/>
    <w:rsid w:val="006A6E6E"/>
    <w:rsid w:val="006C75C4"/>
    <w:rsid w:val="006F0D0A"/>
    <w:rsid w:val="0070125B"/>
    <w:rsid w:val="00723E7A"/>
    <w:rsid w:val="0074439B"/>
    <w:rsid w:val="0077054F"/>
    <w:rsid w:val="007860B1"/>
    <w:rsid w:val="007C11B2"/>
    <w:rsid w:val="007E35DC"/>
    <w:rsid w:val="007F297F"/>
    <w:rsid w:val="008464D2"/>
    <w:rsid w:val="008471FE"/>
    <w:rsid w:val="00893E74"/>
    <w:rsid w:val="008A0EF4"/>
    <w:rsid w:val="008A772B"/>
    <w:rsid w:val="008D4DA5"/>
    <w:rsid w:val="00907C99"/>
    <w:rsid w:val="009215E5"/>
    <w:rsid w:val="00930665"/>
    <w:rsid w:val="00930EF8"/>
    <w:rsid w:val="00961960"/>
    <w:rsid w:val="009718D2"/>
    <w:rsid w:val="00987073"/>
    <w:rsid w:val="00991308"/>
    <w:rsid w:val="00A40258"/>
    <w:rsid w:val="00A54300"/>
    <w:rsid w:val="00A627AF"/>
    <w:rsid w:val="00A66692"/>
    <w:rsid w:val="00A73755"/>
    <w:rsid w:val="00AF6E42"/>
    <w:rsid w:val="00B04409"/>
    <w:rsid w:val="00B21BD0"/>
    <w:rsid w:val="00B34454"/>
    <w:rsid w:val="00B93376"/>
    <w:rsid w:val="00BA3D2F"/>
    <w:rsid w:val="00BC637F"/>
    <w:rsid w:val="00BD25B5"/>
    <w:rsid w:val="00C03589"/>
    <w:rsid w:val="00C433D7"/>
    <w:rsid w:val="00C76339"/>
    <w:rsid w:val="00CB46ED"/>
    <w:rsid w:val="00D464F2"/>
    <w:rsid w:val="00D6094E"/>
    <w:rsid w:val="00D67EA9"/>
    <w:rsid w:val="00DC3047"/>
    <w:rsid w:val="00DE620B"/>
    <w:rsid w:val="00E456E1"/>
    <w:rsid w:val="00E5000A"/>
    <w:rsid w:val="00EC32F9"/>
    <w:rsid w:val="00F461BF"/>
    <w:rsid w:val="00F60D41"/>
    <w:rsid w:val="00F71C64"/>
    <w:rsid w:val="00F9209A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31463-1E6B-4CFB-9FE7-16F4CAC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E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2A129B"/>
  </w:style>
  <w:style w:type="paragraph" w:styleId="Podnoje">
    <w:name w:val="footer"/>
    <w:basedOn w:val="Normal"/>
    <w:link w:val="Podno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2A129B"/>
  </w:style>
  <w:style w:type="character" w:styleId="Hiperveza">
    <w:name w:val="Hyperlink"/>
    <w:basedOn w:val="Zadanifontodlomka"/>
    <w:uiPriority w:val="99"/>
    <w:unhideWhenUsed/>
    <w:rsid w:val="00394090"/>
    <w:rPr>
      <w:color w:val="0563C1" w:themeColor="hyperlink"/>
      <w:u w:val="single"/>
    </w:rPr>
  </w:style>
  <w:style w:type="paragraph" w:customStyle="1" w:styleId="Default">
    <w:name w:val="Default"/>
    <w:rsid w:val="006F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46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Ungvari</dc:creator>
  <cp:keywords/>
  <dc:description/>
  <cp:lastModifiedBy>Windows korisnik</cp:lastModifiedBy>
  <cp:revision>2</cp:revision>
  <cp:lastPrinted>2021-02-11T11:58:00Z</cp:lastPrinted>
  <dcterms:created xsi:type="dcterms:W3CDTF">2021-02-12T09:45:00Z</dcterms:created>
  <dcterms:modified xsi:type="dcterms:W3CDTF">2021-02-12T09:45:00Z</dcterms:modified>
</cp:coreProperties>
</file>